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F8604E">
        <w:rPr>
          <w:rFonts w:eastAsia="標楷體" w:cs="標楷體"/>
          <w:sz w:val="36"/>
          <w:szCs w:val="36"/>
        </w:rPr>
        <w:t>8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F8604E">
        <w:rPr>
          <w:rFonts w:eastAsia="標楷體" w:cs="標楷體" w:hint="eastAsia"/>
          <w:sz w:val="36"/>
          <w:szCs w:val="36"/>
        </w:rPr>
        <w:t>一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E86A0B" w:rsidRPr="005467D8" w:rsidRDefault="00E86A0B" w:rsidP="00756E49">
      <w:pPr>
        <w:spacing w:line="480" w:lineRule="exact"/>
        <w:rPr>
          <w:rFonts w:eastAsia="標楷體"/>
          <w:strike/>
          <w:color w:val="FF0000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Pr="00A6059E">
        <w:rPr>
          <w:rFonts w:eastAsia="標楷體" w:cs="標楷體" w:hint="eastAsia"/>
          <w:color w:val="00B050"/>
          <w:sz w:val="26"/>
          <w:szCs w:val="26"/>
        </w:rPr>
        <w:t>依據教育部</w:t>
      </w:r>
      <w:r w:rsidR="00C71778" w:rsidRPr="00A6059E">
        <w:rPr>
          <w:rFonts w:eastAsia="標楷體" w:cs="標楷體" w:hint="eastAsia"/>
          <w:color w:val="00B050"/>
          <w:sz w:val="26"/>
          <w:szCs w:val="26"/>
        </w:rPr>
        <w:t>10</w:t>
      </w:r>
      <w:r w:rsidR="007145D9">
        <w:rPr>
          <w:rFonts w:eastAsia="標楷體" w:cs="標楷體" w:hint="eastAsia"/>
          <w:color w:val="00B050"/>
          <w:sz w:val="26"/>
          <w:szCs w:val="26"/>
        </w:rPr>
        <w:t>7</w:t>
      </w:r>
      <w:r w:rsidR="00020240" w:rsidRPr="00A6059E">
        <w:rPr>
          <w:rFonts w:eastAsia="標楷體" w:cs="標楷體" w:hint="eastAsia"/>
          <w:color w:val="00B050"/>
          <w:sz w:val="26"/>
          <w:szCs w:val="26"/>
        </w:rPr>
        <w:t>年</w:t>
      </w:r>
      <w:r w:rsidR="00270678">
        <w:rPr>
          <w:rFonts w:eastAsia="標楷體" w:cs="標楷體" w:hint="eastAsia"/>
          <w:color w:val="00B050"/>
          <w:sz w:val="26"/>
          <w:szCs w:val="26"/>
        </w:rPr>
        <w:t>生活科技學科中心年度計畫</w:t>
      </w:r>
      <w:r w:rsidRPr="00A6059E">
        <w:rPr>
          <w:rFonts w:eastAsia="標楷體" w:cs="標楷體" w:hint="eastAsia"/>
          <w:color w:val="00B050"/>
          <w:sz w:val="26"/>
          <w:szCs w:val="26"/>
        </w:rPr>
        <w:t>函辦理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</w:t>
      </w:r>
      <w:proofErr w:type="gramStart"/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競賽組</w:t>
      </w:r>
      <w:r w:rsidR="00860446">
        <w:rPr>
          <w:rFonts w:eastAsia="標楷體" w:cs="標楷體" w:hint="eastAsia"/>
          <w:color w:val="000000" w:themeColor="text1"/>
          <w:sz w:val="26"/>
          <w:szCs w:val="26"/>
        </w:rPr>
        <w:t>無限制</w:t>
      </w:r>
      <w:proofErr w:type="gramEnd"/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</w:t>
      </w:r>
      <w:proofErr w:type="gramStart"/>
      <w:r w:rsidRPr="00832D6C">
        <w:rPr>
          <w:rFonts w:eastAsia="標楷體" w:cs="標楷體" w:hint="eastAsia"/>
          <w:sz w:val="26"/>
          <w:szCs w:val="26"/>
        </w:rPr>
        <w:t>各校先進行</w:t>
      </w:r>
      <w:proofErr w:type="gramEnd"/>
      <w:r w:rsidRPr="00832D6C">
        <w:rPr>
          <w:rFonts w:eastAsia="標楷體" w:cs="標楷體" w:hint="eastAsia"/>
          <w:sz w:val="26"/>
          <w:szCs w:val="26"/>
        </w:rPr>
        <w:t>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</w:t>
      </w:r>
      <w:proofErr w:type="gramStart"/>
      <w:r>
        <w:rPr>
          <w:rFonts w:eastAsia="標楷體" w:cs="標楷體" w:hint="eastAsia"/>
          <w:sz w:val="26"/>
          <w:szCs w:val="26"/>
        </w:rPr>
        <w:t>均</w:t>
      </w:r>
      <w:r w:rsidR="00C71778">
        <w:rPr>
          <w:rFonts w:eastAsia="標楷體" w:cs="標楷體" w:hint="eastAsia"/>
          <w:sz w:val="26"/>
          <w:szCs w:val="26"/>
        </w:rPr>
        <w:t>各計</w:t>
      </w:r>
      <w:proofErr w:type="gramEnd"/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1</w:t>
      </w:r>
      <w:r w:rsidR="00756C3D" w:rsidRPr="00F8604E">
        <w:rPr>
          <w:rFonts w:ascii="標楷體" w:eastAsia="標楷體" w:hAnsi="標楷體" w:cs="標楷體"/>
          <w:color w:val="FF0000"/>
          <w:sz w:val="26"/>
          <w:szCs w:val="26"/>
        </w:rPr>
        <w:t>0</w:t>
      </w:r>
      <w:r w:rsidR="00F8604E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C75EEB" w:rsidRPr="00F8604E">
        <w:rPr>
          <w:rFonts w:ascii="標楷體" w:eastAsia="標楷體" w:hAnsi="標楷體" w:cs="標楷體"/>
          <w:color w:val="FF0000"/>
          <w:sz w:val="26"/>
          <w:szCs w:val="26"/>
        </w:rPr>
        <w:t>3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9764F6">
        <w:rPr>
          <w:rFonts w:ascii="標楷體" w:eastAsia="標楷體" w:hAnsi="標楷體" w:cs="標楷體" w:hint="eastAsia"/>
          <w:color w:val="FF0000"/>
          <w:sz w:val="26"/>
          <w:szCs w:val="26"/>
        </w:rPr>
        <w:t>2</w:t>
      </w:r>
      <w:r w:rsidR="00E3648E">
        <w:rPr>
          <w:rFonts w:ascii="標楷體" w:eastAsia="標楷體" w:hAnsi="標楷體" w:cs="標楷體" w:hint="eastAsia"/>
          <w:color w:val="FF0000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1</w:t>
      </w:r>
      <w:r w:rsidR="00756C3D" w:rsidRPr="00F8604E">
        <w:rPr>
          <w:rFonts w:ascii="標楷體" w:eastAsia="標楷體" w:hAnsi="標楷體" w:cs="標楷體"/>
          <w:color w:val="FF0000"/>
          <w:sz w:val="26"/>
          <w:szCs w:val="26"/>
        </w:rPr>
        <w:t>0</w:t>
      </w:r>
      <w:r w:rsidR="00F8604E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9764F6">
        <w:rPr>
          <w:rFonts w:ascii="標楷體" w:eastAsia="標楷體" w:hAnsi="標楷體" w:cs="標楷體" w:hint="eastAsia"/>
          <w:color w:val="FF0000"/>
          <w:sz w:val="26"/>
          <w:szCs w:val="26"/>
        </w:rPr>
        <w:t>4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9764F6">
        <w:rPr>
          <w:rFonts w:ascii="標楷體" w:eastAsia="標楷體" w:hAnsi="標楷體" w:cs="標楷體" w:hint="eastAsia"/>
          <w:color w:val="FF0000"/>
          <w:sz w:val="26"/>
          <w:szCs w:val="26"/>
        </w:rPr>
        <w:t>02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1</w:t>
      </w:r>
      <w:r w:rsidR="00756C3D" w:rsidRPr="00F8604E">
        <w:rPr>
          <w:rFonts w:ascii="標楷體" w:eastAsia="標楷體" w:hAnsi="標楷體" w:cs="標楷體"/>
          <w:color w:val="FF0000"/>
          <w:sz w:val="26"/>
          <w:szCs w:val="26"/>
        </w:rPr>
        <w:t>0</w:t>
      </w:r>
      <w:r w:rsidR="00F8604E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756C3D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年5月</w:t>
      </w:r>
      <w:r w:rsidR="00057E4E" w:rsidRPr="00F8604E">
        <w:rPr>
          <w:rFonts w:ascii="標楷體" w:eastAsia="標楷體" w:hAnsi="標楷體" w:cs="標楷體"/>
          <w:color w:val="FF0000"/>
          <w:sz w:val="26"/>
          <w:szCs w:val="26"/>
        </w:rPr>
        <w:t>2</w:t>
      </w:r>
      <w:r w:rsidR="00F8604E" w:rsidRPr="00F8604E">
        <w:rPr>
          <w:rFonts w:ascii="標楷體" w:eastAsia="標楷體" w:hAnsi="標楷體" w:cs="標楷體" w:hint="eastAsia"/>
          <w:color w:val="FF0000"/>
          <w:sz w:val="26"/>
          <w:szCs w:val="26"/>
        </w:rPr>
        <w:t>9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cs="標楷體" w:hint="eastAsia"/>
          <w:sz w:val="26"/>
          <w:szCs w:val="26"/>
        </w:rPr>
        <w:t>柒</w:t>
      </w:r>
      <w:proofErr w:type="gramEnd"/>
      <w:r>
        <w:rPr>
          <w:rFonts w:eastAsia="標楷體" w:cs="標楷體" w:hint="eastAsia"/>
          <w:sz w:val="26"/>
          <w:szCs w:val="26"/>
        </w:rPr>
        <w:t>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="000D3058">
        <w:rPr>
          <w:rFonts w:ascii="標楷體" w:eastAsia="標楷體" w:hAnsi="標楷體" w:cs="標楷體" w:hint="eastAsia"/>
          <w:sz w:val="26"/>
          <w:szCs w:val="26"/>
        </w:rPr>
        <w:t>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proofErr w:type="gramStart"/>
      <w:r>
        <w:rPr>
          <w:rFonts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lastRenderedPageBreak/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6608E0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 w:rsidRPr="0087615E">
        <w:rPr>
          <w:rFonts w:eastAsia="標楷體" w:hint="eastAsia"/>
          <w:color w:val="FF0000"/>
          <w:sz w:val="26"/>
          <w:szCs w:val="26"/>
        </w:rPr>
        <w:t>以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「</w:t>
      </w:r>
      <w:r w:rsidRPr="00090358">
        <w:rPr>
          <w:rFonts w:ascii="標楷體" w:eastAsia="標楷體" w:hAnsi="標楷體" w:cs="標楷體" w:hint="eastAsia"/>
          <w:color w:val="FF0000"/>
          <w:sz w:val="26"/>
          <w:szCs w:val="26"/>
        </w:rPr>
        <w:t>居家生活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」主題，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思考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有助於改善現代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居家環境、生活便利，並以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長輩照護」、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節約能源」以及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「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空</w:t>
      </w:r>
      <w:proofErr w:type="gramStart"/>
      <w:r>
        <w:rPr>
          <w:rFonts w:ascii="標楷體" w:eastAsia="標楷體" w:hAnsi="標楷體" w:cs="標楷體" w:hint="eastAsia"/>
          <w:color w:val="FF0000"/>
          <w:sz w:val="26"/>
          <w:szCs w:val="26"/>
        </w:rPr>
        <w:t>汙</w:t>
      </w:r>
      <w:proofErr w:type="gramEnd"/>
      <w:r>
        <w:rPr>
          <w:rFonts w:ascii="標楷體" w:eastAsia="標楷體" w:hAnsi="標楷體" w:cs="標楷體" w:hint="eastAsia"/>
          <w:color w:val="FF0000"/>
          <w:sz w:val="26"/>
          <w:szCs w:val="26"/>
        </w:rPr>
        <w:t>防制」三個主題之一，進行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概念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設計製作實體器物</w:t>
      </w:r>
      <w:r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或模擬運作之模型為主軸進行創意設計競賽。</w:t>
      </w:r>
      <w:r>
        <w:rPr>
          <w:rFonts w:ascii="標楷體" w:eastAsia="標楷體" w:hAnsi="標楷體" w:cs="標楷體" w:hint="eastAsia"/>
          <w:color w:val="FF0000"/>
          <w:sz w:val="26"/>
          <w:szCs w:val="26"/>
        </w:rPr>
        <w:t>請參閱附件2-1。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1</w:t>
      </w:r>
      <w:r w:rsidR="00253361" w:rsidRPr="0087615E">
        <w:rPr>
          <w:rFonts w:ascii="標楷體" w:eastAsia="標楷體" w:hAnsi="標楷體" w:cs="標楷體"/>
          <w:color w:val="FF0000"/>
          <w:sz w:val="26"/>
          <w:szCs w:val="26"/>
        </w:rPr>
        <w:t>0</w:t>
      </w:r>
      <w:r w:rsidR="0087615E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C75EEB" w:rsidRPr="0087615E">
        <w:rPr>
          <w:rFonts w:ascii="標楷體" w:eastAsia="標楷體" w:hAnsi="標楷體" w:cs="標楷體"/>
          <w:color w:val="FF0000"/>
          <w:sz w:val="26"/>
          <w:szCs w:val="26"/>
        </w:rPr>
        <w:t>3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26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proofErr w:type="gramStart"/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proofErr w:type="gramEnd"/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1</w:t>
      </w:r>
      <w:r w:rsidR="00253361" w:rsidRPr="0087615E">
        <w:rPr>
          <w:rFonts w:ascii="標楷體" w:eastAsia="標楷體" w:hAnsi="標楷體" w:cs="標楷體"/>
          <w:color w:val="FF0000"/>
          <w:sz w:val="26"/>
          <w:szCs w:val="26"/>
        </w:rPr>
        <w:t>0</w:t>
      </w:r>
      <w:r w:rsidR="0087615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4</w:t>
      </w:r>
      <w:r w:rsidR="00253361" w:rsidRPr="0087615E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02</w:t>
      </w:r>
      <w:r w:rsidR="00253361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D15A87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EA481A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="00D15A87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EA481A" w:rsidRPr="004765DC">
        <w:rPr>
          <w:rFonts w:ascii="標楷體" w:eastAsia="標楷體" w:hAnsi="標楷體" w:cs="標楷體"/>
          <w:color w:val="FF0000"/>
          <w:sz w:val="26"/>
          <w:szCs w:val="26"/>
        </w:rPr>
        <w:t>2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9</w:t>
      </w:r>
      <w:r w:rsidR="00D15A87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proofErr w:type="spellStart"/>
      <w:r>
        <w:rPr>
          <w:rFonts w:eastAsia="標楷體" w:hAnsi="標楷體"/>
          <w:sz w:val="26"/>
          <w:szCs w:val="26"/>
        </w:rPr>
        <w:t>pdf</w:t>
      </w:r>
      <w:proofErr w:type="spell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</w:t>
      </w:r>
      <w:proofErr w:type="gramStart"/>
      <w:r>
        <w:rPr>
          <w:rFonts w:eastAsia="標楷體" w:hAnsi="標楷體" w:cs="標楷體" w:hint="eastAsia"/>
          <w:sz w:val="26"/>
          <w:szCs w:val="26"/>
        </w:rPr>
        <w:t>作者需入鏡</w:t>
      </w:r>
      <w:proofErr w:type="gram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lastRenderedPageBreak/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942E0D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EA481A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="00942E0D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23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B009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5</w:t>
      </w:r>
      <w:r w:rsidR="009E796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29</w:t>
      </w:r>
      <w:r w:rsidR="009E796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F93437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color w:val="FF000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</w:t>
      </w:r>
      <w:r w:rsidR="00401071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655"/>
      </w:tblGrid>
      <w:tr w:rsidR="00E86A0B" w:rsidRPr="00146BB2" w:rsidTr="00FB6368">
        <w:tc>
          <w:tcPr>
            <w:tcW w:w="1646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B40D39" w:rsidRPr="00146BB2" w:rsidTr="00FB6368">
        <w:tc>
          <w:tcPr>
            <w:tcW w:w="1646" w:type="dxa"/>
          </w:tcPr>
          <w:p w:rsidR="00B40D39" w:rsidRPr="00A6059E" w:rsidRDefault="00B40D39" w:rsidP="00A11145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A11145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正式比賽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總競賽時間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轉場時間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C2120B" w:rsidP="00FF57C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作品口頭報告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2m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4m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in)(</w:t>
            </w:r>
            <w:proofErr w:type="spellStart"/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ppt</w:t>
            </w:r>
            <w:proofErr w:type="spellEnd"/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報告時間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問答時間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86A0B" w:rsidP="00C2120B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059E" w:rsidRDefault="00ED2E7A" w:rsidP="003325C0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獎挑戰賽，作品調整、修正與測試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86A0B"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15m</w:t>
              </w:r>
            </w:smartTag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D2E7A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059E" w:rsidRDefault="00ED2E7A" w:rsidP="00ED2E7A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菁英獎挑戰賽</w:t>
            </w:r>
          </w:p>
        </w:tc>
      </w:tr>
      <w:tr w:rsidR="00ED2E7A" w:rsidRPr="00146BB2" w:rsidTr="00FB6368">
        <w:tc>
          <w:tcPr>
            <w:tcW w:w="1646" w:type="dxa"/>
          </w:tcPr>
          <w:p w:rsidR="00ED2E7A" w:rsidRPr="00A6059E" w:rsidRDefault="001F1190" w:rsidP="00ED2E7A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  <w:r w:rsidR="00ED2E7A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45~16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059E" w:rsidRDefault="00ED2E7A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1F1190" w:rsidP="00CA10BE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="00CA10BE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EA481A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EA481A" w:rsidRPr="004765DC">
        <w:rPr>
          <w:rFonts w:ascii="標楷體" w:eastAsia="標楷體" w:hAnsi="標楷體" w:cs="標楷體"/>
          <w:color w:val="FF0000"/>
          <w:sz w:val="26"/>
          <w:szCs w:val="26"/>
        </w:rPr>
        <w:t>2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9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Pr="004765DC">
        <w:rPr>
          <w:rFonts w:ascii="標楷體" w:eastAsia="標楷體" w:hAnsi="標楷體" w:cs="標楷體"/>
          <w:color w:val="FF0000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proofErr w:type="spellStart"/>
      <w:r>
        <w:rPr>
          <w:rFonts w:eastAsia="標楷體" w:hAnsi="標楷體"/>
          <w:sz w:val="26"/>
          <w:szCs w:val="26"/>
        </w:rPr>
        <w:t>pdf</w:t>
      </w:r>
      <w:proofErr w:type="spell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3F2B6C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23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日(</w:t>
      </w:r>
      <w:r w:rsidR="00D1117B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星期三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中午12:00前傳真至學科中心(02-29686845)；為免因此造成全隊人數不足而無法比賽，正本須於比賽當天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(10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3F2B6C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3F2B6C" w:rsidRPr="004765DC">
        <w:rPr>
          <w:rFonts w:ascii="標楷體" w:eastAsia="標楷體" w:hAnsi="標楷體" w:cs="標楷體"/>
          <w:color w:val="FF0000"/>
          <w:sz w:val="26"/>
          <w:szCs w:val="26"/>
        </w:rPr>
        <w:t>2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9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. </w:t>
      </w:r>
      <w:r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797"/>
      </w:tblGrid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3F2B6C" w:rsidP="001169A6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lastRenderedPageBreak/>
              <w:t>15:45~16:10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</w:t>
      </w:r>
      <w:proofErr w:type="gramStart"/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proofErr w:type="gramEnd"/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</w:t>
      </w:r>
      <w:proofErr w:type="gramStart"/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proofErr w:type="gramEnd"/>
      <w:r w:rsidR="00B76993" w:rsidRPr="004765DC">
        <w:rPr>
          <w:rFonts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eastAsia="標楷體" w:hAnsi="標楷體" w:cs="標楷體" w:hint="eastAsia"/>
          <w:color w:val="FF0000"/>
          <w:sz w:val="26"/>
          <w:szCs w:val="26"/>
        </w:rPr>
        <w:t>7</w:t>
      </w:r>
      <w:r w:rsidR="00B76993" w:rsidRPr="004765DC">
        <w:rPr>
          <w:rFonts w:eastAsia="標楷體" w:hAnsi="標楷體" w:cs="標楷體" w:hint="eastAsia"/>
          <w:color w:val="FF0000"/>
          <w:sz w:val="26"/>
          <w:szCs w:val="26"/>
        </w:rPr>
        <w:t>年</w:t>
      </w:r>
      <w:r w:rsidR="003F2B6C" w:rsidRPr="004765DC">
        <w:rPr>
          <w:rFonts w:ascii="標楷體" w:eastAsia="標楷體" w:hAnsi="標楷體" w:cs="標楷體"/>
          <w:color w:val="FF0000"/>
          <w:sz w:val="26"/>
          <w:szCs w:val="26"/>
        </w:rPr>
        <w:t>3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26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4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AC1367">
        <w:rPr>
          <w:rFonts w:ascii="標楷體" w:eastAsia="標楷體" w:hAnsi="標楷體" w:cs="標楷體" w:hint="eastAsia"/>
          <w:color w:val="FF0000"/>
          <w:sz w:val="26"/>
          <w:szCs w:val="26"/>
        </w:rPr>
        <w:t>02</w:t>
      </w:r>
      <w:bookmarkStart w:id="0" w:name="_GoBack"/>
      <w:bookmarkEnd w:id="0"/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ppt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lastRenderedPageBreak/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最佳造形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lastRenderedPageBreak/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C50A82">
      <w:pPr>
        <w:spacing w:line="410" w:lineRule="exact"/>
        <w:ind w:leftChars="454" w:left="1090" w:firstLineChars="250" w:firstLine="65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B76993">
      <w:pPr>
        <w:spacing w:line="410" w:lineRule="exact"/>
        <w:ind w:leftChars="508" w:left="1219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5F3E25">
        <w:rPr>
          <w:rFonts w:eastAsia="標楷體" w:hAnsi="標楷體" w:cs="標楷體" w:hint="eastAsia"/>
          <w:sz w:val="26"/>
          <w:szCs w:val="26"/>
        </w:rPr>
        <w:t>將建請主辦單位發文</w:t>
      </w:r>
      <w:r>
        <w:rPr>
          <w:rFonts w:eastAsia="標楷體" w:hAnsi="標楷體" w:cs="標楷體" w:hint="eastAsia"/>
          <w:sz w:val="26"/>
          <w:szCs w:val="26"/>
        </w:rPr>
        <w:t>至各校</w:t>
      </w:r>
      <w:r w:rsidR="005F3E25">
        <w:rPr>
          <w:rFonts w:eastAsia="標楷體" w:hAnsi="標楷體" w:cs="標楷體" w:hint="eastAsia"/>
          <w:sz w:val="26"/>
          <w:szCs w:val="26"/>
        </w:rPr>
        <w:t>，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10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年</w:t>
      </w:r>
      <w:r w:rsidR="00AF6400" w:rsidRPr="004765DC">
        <w:rPr>
          <w:rFonts w:ascii="標楷體" w:eastAsia="標楷體" w:hAnsi="標楷體" w:cs="標楷體"/>
          <w:color w:val="FF0000"/>
          <w:sz w:val="26"/>
          <w:szCs w:val="26"/>
        </w:rPr>
        <w:t>5</w:t>
      </w:r>
      <w:r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月</w:t>
      </w:r>
      <w:r w:rsidR="00AF6400" w:rsidRPr="004765DC">
        <w:rPr>
          <w:rFonts w:ascii="標楷體" w:eastAsia="標楷體" w:hAnsi="標楷體" w:cs="標楷體"/>
          <w:color w:val="FF0000"/>
          <w:sz w:val="26"/>
          <w:szCs w:val="26"/>
        </w:rPr>
        <w:t>2</w:t>
      </w:r>
      <w:r w:rsidR="004765DC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9</w:t>
      </w:r>
      <w:r w:rsidR="001B418A" w:rsidRPr="004765DC">
        <w:rPr>
          <w:rFonts w:ascii="標楷體" w:eastAsia="標楷體" w:hAnsi="標楷體" w:cs="標楷體" w:hint="eastAsia"/>
          <w:color w:val="FF0000"/>
          <w:sz w:val="26"/>
          <w:szCs w:val="26"/>
        </w:rPr>
        <w:t>日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color w:val="00B050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proofErr w:type="gramStart"/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中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心</w:t>
      </w:r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官網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提問</w:t>
      </w:r>
      <w:proofErr w:type="gramEnd"/>
      <w:hyperlink r:id="rId9" w:history="1">
        <w:r w:rsidR="007145D9" w:rsidRPr="00D619D6">
          <w:rPr>
            <w:rStyle w:val="a3"/>
            <w:rFonts w:ascii="標楷體" w:eastAsia="標楷體" w:hAnsi="標楷體" w:cs="標楷體"/>
            <w:sz w:val="26"/>
            <w:szCs w:val="26"/>
          </w:rPr>
          <w:t>https://sites.google.com/a/ljsh.hcc.edu.tw/living-technology/</w:t>
        </w:r>
      </w:hyperlink>
    </w:p>
    <w:p w:rsidR="007145D9" w:rsidRPr="007145D9" w:rsidRDefault="007145D9" w:rsidP="00B20C0A">
      <w:pPr>
        <w:autoSpaceDE w:val="0"/>
        <w:autoSpaceDN w:val="0"/>
        <w:adjustRightInd w:val="0"/>
        <w:ind w:leftChars="216" w:left="1168" w:hangingChars="250" w:hanging="65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五、</w:t>
      </w:r>
      <w:r w:rsidRPr="007145D9">
        <w:rPr>
          <w:rFonts w:eastAsia="標楷體" w:hAnsi="標楷體" w:cs="標楷體"/>
          <w:sz w:val="26"/>
          <w:szCs w:val="26"/>
        </w:rPr>
        <w:t>本競賽辦法經領隊會議</w:t>
      </w:r>
      <w:r w:rsidRPr="007145D9">
        <w:rPr>
          <w:rFonts w:eastAsia="標楷體" w:hAnsi="標楷體" w:cs="標楷體"/>
          <w:sz w:val="26"/>
          <w:szCs w:val="26"/>
        </w:rPr>
        <w:t>(</w:t>
      </w:r>
      <w:r w:rsidRPr="007145D9">
        <w:rPr>
          <w:rFonts w:eastAsia="標楷體" w:hAnsi="標楷體" w:cs="標楷體"/>
          <w:sz w:val="26"/>
          <w:szCs w:val="26"/>
        </w:rPr>
        <w:t>預計</w:t>
      </w:r>
      <w:r w:rsidRPr="007145D9">
        <w:rPr>
          <w:rFonts w:eastAsia="標楷體" w:hAnsi="標楷體" w:cs="標楷體"/>
          <w:sz w:val="26"/>
          <w:szCs w:val="26"/>
        </w:rPr>
        <w:t>107</w:t>
      </w:r>
      <w:r w:rsidRPr="007145D9">
        <w:rPr>
          <w:rFonts w:eastAsia="標楷體" w:hAnsi="標楷體" w:cs="標楷體"/>
          <w:sz w:val="26"/>
          <w:szCs w:val="26"/>
        </w:rPr>
        <w:t>年</w:t>
      </w:r>
      <w:r w:rsidRPr="007145D9">
        <w:rPr>
          <w:rFonts w:eastAsia="標楷體" w:hAnsi="標楷體" w:cs="標楷體"/>
          <w:sz w:val="26"/>
          <w:szCs w:val="26"/>
        </w:rPr>
        <w:t>3</w:t>
      </w:r>
      <w:r w:rsidRPr="007145D9">
        <w:rPr>
          <w:rFonts w:eastAsia="標楷體" w:hAnsi="標楷體" w:cs="標楷體"/>
          <w:sz w:val="26"/>
          <w:szCs w:val="26"/>
        </w:rPr>
        <w:t>月底</w:t>
      </w:r>
      <w:r w:rsidRPr="007145D9">
        <w:rPr>
          <w:rFonts w:eastAsia="標楷體" w:hAnsi="標楷體" w:cs="標楷體"/>
          <w:sz w:val="26"/>
          <w:szCs w:val="26"/>
        </w:rPr>
        <w:t>)</w:t>
      </w:r>
      <w:r w:rsidRPr="007145D9">
        <w:rPr>
          <w:rFonts w:eastAsia="標楷體" w:hAnsi="標楷體" w:cs="標楷體"/>
          <w:sz w:val="26"/>
          <w:szCs w:val="26"/>
        </w:rPr>
        <w:t>修正後，大會有更改比賽規則之權利。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>
        <w:rPr>
          <w:rFonts w:eastAsia="標楷體" w:hAnsi="標楷體" w:cs="標楷體" w:hint="eastAsia"/>
          <w:sz w:val="26"/>
          <w:szCs w:val="26"/>
        </w:rPr>
        <w:t>教育部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10"/>
      <w:footerReference w:type="default" r:id="rId11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36" w:rsidRDefault="00151D36">
      <w:r>
        <w:separator/>
      </w:r>
    </w:p>
  </w:endnote>
  <w:endnote w:type="continuationSeparator" w:id="0">
    <w:p w:rsidR="00151D36" w:rsidRDefault="001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67" w:rsidRPr="00AC1367">
          <w:rPr>
            <w:noProof/>
            <w:lang w:val="zh-TW"/>
          </w:rPr>
          <w:t>7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36" w:rsidRDefault="00151D36">
      <w:r>
        <w:separator/>
      </w:r>
    </w:p>
  </w:footnote>
  <w:footnote w:type="continuationSeparator" w:id="0">
    <w:p w:rsidR="00151D36" w:rsidRDefault="0015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1D" w:rsidRDefault="00057E4E">
    <w:pPr>
      <w:pStyle w:val="a8"/>
    </w:pPr>
    <w:r>
      <w:t>201</w:t>
    </w:r>
    <w:r w:rsidR="00D65A8A">
      <w:rPr>
        <w:rFonts w:hint="eastAsia"/>
      </w:rPr>
      <w:t>7</w:t>
    </w:r>
    <w:r w:rsidR="009347CC">
      <w:t>1205R1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641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1D3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02BAC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0B8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4323"/>
    <w:rsid w:val="00407338"/>
    <w:rsid w:val="00410367"/>
    <w:rsid w:val="0041262F"/>
    <w:rsid w:val="00412F69"/>
    <w:rsid w:val="00417457"/>
    <w:rsid w:val="00423300"/>
    <w:rsid w:val="00424D57"/>
    <w:rsid w:val="004376F0"/>
    <w:rsid w:val="0045320B"/>
    <w:rsid w:val="00457159"/>
    <w:rsid w:val="00471785"/>
    <w:rsid w:val="00473B13"/>
    <w:rsid w:val="0047585D"/>
    <w:rsid w:val="004765DC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08E0"/>
    <w:rsid w:val="00666596"/>
    <w:rsid w:val="00670BA9"/>
    <w:rsid w:val="00675440"/>
    <w:rsid w:val="006934A0"/>
    <w:rsid w:val="00694813"/>
    <w:rsid w:val="006B2DE9"/>
    <w:rsid w:val="006B34D7"/>
    <w:rsid w:val="006B56E6"/>
    <w:rsid w:val="006C08F4"/>
    <w:rsid w:val="006C14A0"/>
    <w:rsid w:val="006F6DEA"/>
    <w:rsid w:val="006F7447"/>
    <w:rsid w:val="00703132"/>
    <w:rsid w:val="00703EC2"/>
    <w:rsid w:val="00710157"/>
    <w:rsid w:val="007145D9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2286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0446"/>
    <w:rsid w:val="008638F9"/>
    <w:rsid w:val="008736B4"/>
    <w:rsid w:val="0087615E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1E5D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47C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764F6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A017BA"/>
    <w:rsid w:val="00A02379"/>
    <w:rsid w:val="00A02EB2"/>
    <w:rsid w:val="00A05CF7"/>
    <w:rsid w:val="00A06E57"/>
    <w:rsid w:val="00A11145"/>
    <w:rsid w:val="00A11167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D3C"/>
    <w:rsid w:val="00A74F39"/>
    <w:rsid w:val="00A7596D"/>
    <w:rsid w:val="00A82C1E"/>
    <w:rsid w:val="00A94591"/>
    <w:rsid w:val="00AA3BA1"/>
    <w:rsid w:val="00AA5EA0"/>
    <w:rsid w:val="00AA6C57"/>
    <w:rsid w:val="00AA6EB3"/>
    <w:rsid w:val="00AA727E"/>
    <w:rsid w:val="00AC1367"/>
    <w:rsid w:val="00AC3C93"/>
    <w:rsid w:val="00AD0CFB"/>
    <w:rsid w:val="00AE0A6D"/>
    <w:rsid w:val="00AE18A7"/>
    <w:rsid w:val="00AE367D"/>
    <w:rsid w:val="00AF1255"/>
    <w:rsid w:val="00AF6400"/>
    <w:rsid w:val="00B00998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117B"/>
    <w:rsid w:val="00D15A87"/>
    <w:rsid w:val="00D37370"/>
    <w:rsid w:val="00D4010A"/>
    <w:rsid w:val="00D41616"/>
    <w:rsid w:val="00D5423B"/>
    <w:rsid w:val="00D63F68"/>
    <w:rsid w:val="00D65A8A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07604"/>
    <w:rsid w:val="00E17FA6"/>
    <w:rsid w:val="00E22217"/>
    <w:rsid w:val="00E246A3"/>
    <w:rsid w:val="00E24FE5"/>
    <w:rsid w:val="00E31371"/>
    <w:rsid w:val="00E3648E"/>
    <w:rsid w:val="00E53E6E"/>
    <w:rsid w:val="00E574AF"/>
    <w:rsid w:val="00E61EFB"/>
    <w:rsid w:val="00E660B5"/>
    <w:rsid w:val="00E67C96"/>
    <w:rsid w:val="00E729E4"/>
    <w:rsid w:val="00E75DD0"/>
    <w:rsid w:val="00E8249B"/>
    <w:rsid w:val="00E85317"/>
    <w:rsid w:val="00E86A0B"/>
    <w:rsid w:val="00EA2C4F"/>
    <w:rsid w:val="00EA39C1"/>
    <w:rsid w:val="00EA481A"/>
    <w:rsid w:val="00EA72D2"/>
    <w:rsid w:val="00ED0043"/>
    <w:rsid w:val="00ED017E"/>
    <w:rsid w:val="00ED2E7A"/>
    <w:rsid w:val="00ED5C6C"/>
    <w:rsid w:val="00EE1560"/>
    <w:rsid w:val="00F00E81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04E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ljsh.hcc.edu.tw/living-technolog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4E34-759F-4AB0-958C-FC15378E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743</Words>
  <Characters>4237</Characters>
  <Application>Microsoft Office Word</Application>
  <DocSecurity>0</DocSecurity>
  <Lines>35</Lines>
  <Paragraphs>9</Paragraphs>
  <ScaleCrop>false</ScaleCrop>
  <Company>sljh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29</cp:revision>
  <cp:lastPrinted>2016-12-06T07:20:00Z</cp:lastPrinted>
  <dcterms:created xsi:type="dcterms:W3CDTF">2016-10-31T13:03:00Z</dcterms:created>
  <dcterms:modified xsi:type="dcterms:W3CDTF">2018-02-27T01:08:00Z</dcterms:modified>
</cp:coreProperties>
</file>